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79845395" w:name="document"/>
    <w:bookmarkEnd w:id="79845395"/>
    <w:p/>
    <w:p>
      <w:pPr>
        <w:widowControl w:val="on"/>
        <w:pBdr/>
        <w:spacing w:before="0" w:after="280" w:line="240" w:lineRule="auto"/>
        <w:ind w:left="0" w:right="0"/>
        <w:jc w:val="left"/>
      </w:pPr>
      <w:r>
        <w:rPr>
          <w:rFonts w:ascii="Arial" w:hAnsi="Arial" w:eastAsia="Arial" w:cs="Arial"/>
          <w:color w:val="363A40"/>
          <w:sz w:val="24"/>
          <w:szCs w:val="24"/>
        </w:rPr>
        <w:t xml:space="preserve">Dokument-ID: 895809 | Andrea Futterknecht -
Raimund Neuwirther | Muster | Grundbuchsgesuch</w:t>
      </w:r>
    </w:p>
    <w:p>
      <w:pPr>
        <w:widowControl w:val="on"/>
        <w:pBdr/>
        <w:spacing w:before="340" w:after="220" w:line="268" w:lineRule="auto"/>
        <w:ind w:left="0" w:right="0"/>
        <w:jc w:val="left"/>
        <w:outlineLvl w:val="0"/>
      </w:pPr>
      <w:r>
        <w:rPr>
          <w:rFonts w:ascii="Arial" w:hAnsi="Arial" w:eastAsia="Arial" w:cs="Arial"/>
          <w:color w:val="363A40"/>
          <w:sz w:val="36"/>
          <w:szCs w:val="36"/>
        </w:rPr>
        <w:t xml:space="preserve">Ersichtlichmachung des Verwalters gem § 19 WEG</w:t>
      </w:r>
    </w:p>
    <w:p>
      <w:pPr>
        <w:widowControl w:val="on"/>
        <w:pBdr/>
        <w:spacing w:before="24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1. Allgemeine 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Begehrenstyp: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Wohnungseigentum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Subtyp: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Endgültiges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Aktion: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Ersichtlichmachung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Personen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Antragsteller: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Ottilie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18.02.1946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Gruber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03.12.1941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2/2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Rosa Neubacher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20.01.1937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Fromut Hofbauer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Geburtsdatum: 01.11.1967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2/4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Weghofer OEG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Josefsgasse 2/1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Vertreten durch: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Dr. Alois Leyer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Rechtsanwalt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Vereinsgasse 23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1080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Beteiligte: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Josef Kogler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Floridusgasse 7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1210 Wien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Urkunden zum Begehren: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Bestellungsbeschluss vom 10.01.1999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Referenz auf Dokumentenarchiv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Archiv: Archivium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Archiv-ID: 12345-10</w:t>
            </w:r>
          </w:p>
        </w:tc>
      </w:tr>
    </w:tbl>
    <w:p>
      <w:pPr>
        <w:widowControl w:val="on"/>
        <w:pBdr/>
        <w:spacing w:before="400" w:after="60" w:line="346" w:lineRule="auto"/>
        <w:ind w:left="0" w:right="0"/>
        <w:jc w:val="left"/>
        <w:outlineLvl w:val="1"/>
      </w:pPr>
      <w:r>
        <w:rPr>
          <w:rFonts w:ascii="Arial" w:hAnsi="Arial" w:eastAsia="Arial" w:cs="Arial"/>
          <w:color w:val="363A40"/>
          <w:sz w:val="28"/>
          <w:szCs w:val="28"/>
        </w:rPr>
        <w:t xml:space="preserve">2. Begehrensdaten</w:t>
      </w:r>
    </w:p>
    <w:tbl>
      <w:tblPr>
        <w:tblStyle w:val="NormalTablePHPDOCX"/>
        <w:tblW w:w="5000" w:type="pct"/>
        <w:tblInd w:w="0" w:type="auto"/>
        <w:tblBorders>
          <w:top w:val="nil" w:color="363A40" w:sz="0"/>
          <w:left w:val="nil" w:color="363A40" w:sz="0"/>
          <w:bottom w:val="nil" w:color="363A40" w:sz="0"/>
          <w:right w:val="nil" w:color="363A40" w:sz="0"/>
        </w:tblBorders>
      </w:tblPr>
      <w:tblGrid>
        <w:gridCol w:w="1"/>
        <w:gridCol w:w="1"/>
      </w:tblGrid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Gegenstand: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Verwalter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Bezug auf bestehende Eintragung</w:t>
            </w:r>
          </w:p>
        </w:tc>
      </w:tr>
      <w:tr>
        <w:trPr>
          <w:trHeight w:val="0" w:hRule="atLeast"/>
        </w:trPr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Einlage:</w:t>
            </w:r>
          </w:p>
        </w:tc>
        <w:tc>
          <w:tcPr>
            <w:tcW w:w="0" w:type="auto"/>
            <w:shd w:val="clear" w:color="auto" w:fill="FFFFFF"/>
            <w:tcMar>
              <w:top w:w="156" w:type="dxa"/>
              <w:left w:w="0" w:type="auto"/>
              <w:bottom w:w="78" w:type="dxa"/>
              <w:right w:w="0" w:type="auto"/>
            </w:tcMar>
            <w:vAlign w:val="top"/>
          </w:tcPr>
          <w:p>
            <w:pPr>
              <w:widowControl w:val="on"/>
              <w:pBdr/>
              <w:shd w:val="clear" w:color="auto" w:fill="FFFFFF"/>
              <w:spacing w:before="0" w:after="0" w:line="288" w:lineRule="auto"/>
              <w:ind w:left="0" w:right="0"/>
              <w:jc w:val="left"/>
              <w:textAlignment w:val="top"/>
            </w:pP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t xml:space="preserve">KG: 01005</w:t>
            </w:r>
            <w:r>
              <w:rPr>
                <w:rFonts w:ascii="Arial" w:hAnsi="Arial" w:eastAsia="Arial" w:cs="Arial"/>
                <w:color w:val="000000"/>
                <w:position w:val="0"/>
                <w:sz w:val="20"/>
                <w:szCs w:val="20"/>
                <w:shd w:val="clear" w:color="auto" w:fill="FFFFFF"/>
              </w:rPr>
              <w:br/>
              <w:t xml:space="preserve">EZ: 5230</w:t>
            </w:r>
          </w:p>
        </w:tc>
      </w:tr>
    </w:tbl>
    <w:sectPr xmlns:w="http://schemas.openxmlformats.org/wordprocessingml/2006/main" xmlns:r="http://schemas.openxmlformats.org/officeDocument/2006/relationships" w:rsidR="00F961DC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D" w:rsidRDefault="001A2D5D" w:rsidP="001A2D5D">
      <w:pPr>
        <w:spacing w:after="0" w:line="240" w:lineRule="auto"/>
      </w:pPr>
      <w:r>
        <w:separator/>
      </w:r>
    </w:p>
  </w:endnote>
  <w:end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73211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D" w:rsidRDefault="001A2D5D" w:rsidP="001A2D5D">
      <w:pPr>
        <w:spacing w:after="0" w:line="240" w:lineRule="auto"/>
      </w:pPr>
      <w:r>
        <w:separator/>
      </w:r>
    </w:p>
  </w:footnote>
  <w:footnote w:type="continuationSeparator" w:id="0">
    <w:p w:rsidR="001A2D5D" w:rsidRDefault="001A2D5D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119116">
    <w:multiLevelType w:val="hybridMultilevel"/>
    <w:lvl w:ilvl="0" w:tplc="40427522">
      <w:start w:val="1"/>
      <w:numFmt w:val="decimal"/>
      <w:lvlText w:val="%1."/>
      <w:lvlJc w:val="left"/>
      <w:pPr>
        <w:ind w:left="720" w:hanging="360"/>
      </w:pPr>
    </w:lvl>
    <w:lvl w:ilvl="1" w:tplc="40427522" w:tentative="1">
      <w:start w:val="1"/>
      <w:numFmt w:val="lowerLetter"/>
      <w:lvlText w:val="%2."/>
      <w:lvlJc w:val="left"/>
      <w:pPr>
        <w:ind w:left="1440" w:hanging="360"/>
      </w:pPr>
    </w:lvl>
    <w:lvl w:ilvl="2" w:tplc="40427522" w:tentative="1">
      <w:start w:val="1"/>
      <w:numFmt w:val="lowerRoman"/>
      <w:lvlText w:val="%3."/>
      <w:lvlJc w:val="right"/>
      <w:pPr>
        <w:ind w:left="2160" w:hanging="180"/>
      </w:pPr>
    </w:lvl>
    <w:lvl w:ilvl="3" w:tplc="40427522" w:tentative="1">
      <w:start w:val="1"/>
      <w:numFmt w:val="decimal"/>
      <w:lvlText w:val="%4."/>
      <w:lvlJc w:val="left"/>
      <w:pPr>
        <w:ind w:left="2880" w:hanging="360"/>
      </w:pPr>
    </w:lvl>
    <w:lvl w:ilvl="4" w:tplc="40427522" w:tentative="1">
      <w:start w:val="1"/>
      <w:numFmt w:val="lowerLetter"/>
      <w:lvlText w:val="%5."/>
      <w:lvlJc w:val="left"/>
      <w:pPr>
        <w:ind w:left="3600" w:hanging="360"/>
      </w:pPr>
    </w:lvl>
    <w:lvl w:ilvl="5" w:tplc="40427522" w:tentative="1">
      <w:start w:val="1"/>
      <w:numFmt w:val="lowerRoman"/>
      <w:lvlText w:val="%6."/>
      <w:lvlJc w:val="right"/>
      <w:pPr>
        <w:ind w:left="4320" w:hanging="180"/>
      </w:pPr>
    </w:lvl>
    <w:lvl w:ilvl="6" w:tplc="40427522" w:tentative="1">
      <w:start w:val="1"/>
      <w:numFmt w:val="decimal"/>
      <w:lvlText w:val="%7."/>
      <w:lvlJc w:val="left"/>
      <w:pPr>
        <w:ind w:left="5040" w:hanging="360"/>
      </w:pPr>
    </w:lvl>
    <w:lvl w:ilvl="7" w:tplc="40427522" w:tentative="1">
      <w:start w:val="1"/>
      <w:numFmt w:val="lowerLetter"/>
      <w:lvlText w:val="%8."/>
      <w:lvlJc w:val="left"/>
      <w:pPr>
        <w:ind w:left="5760" w:hanging="360"/>
      </w:pPr>
    </w:lvl>
    <w:lvl w:ilvl="8" w:tplc="40427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19115">
    <w:multiLevelType w:val="hybridMultilevel"/>
    <w:lvl w:ilvl="0" w:tplc="17875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119115">
    <w:abstractNumId w:val="96119115"/>
  </w:num>
  <w:num w:numId="96119116">
    <w:abstractNumId w:val="961191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 w:val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5D"/>
    <w:rsid w:val="001A2D5D"/>
    <w:rsid w:val="00205CAE"/>
    <w:rsid w:val="002141BA"/>
    <w:rsid w:val="004A3273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_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_DE" w:eastAsia="de_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21536597" Type="http://schemas.openxmlformats.org/officeDocument/2006/relationships/numbering" Target="numbering.xml"/><Relationship Id="rId68673946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WEKA Business Solutions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2015-05-12T09:10:00Z</dcterms:created>
  <dcterms:modified xsi:type="dcterms:W3CDTF">2015-05-12T09:16:00Z</dcterms:modified>
</cp:coreProperties>
</file>